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78F01819" w:rsidR="006A0CAE" w:rsidRDefault="006A0CAE" w:rsidP="006A0CAE">
      <w:pPr>
        <w:pStyle w:val="Rubrik2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 w:rsidR="008372FD">
        <w:rPr>
          <w:sz w:val="28"/>
          <w:szCs w:val="28"/>
        </w:rPr>
        <w:t xml:space="preserve">DYKERIARBETE 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3D1F1D" w14:paraId="0415099B" w14:textId="77777777" w:rsidTr="002A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6F2546AB" w14:textId="7BE3C232" w:rsidR="003D1F1D" w:rsidRDefault="003D1F1D" w:rsidP="002A4E72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3D1F1D" w14:paraId="40689E72" w14:textId="77777777" w:rsidTr="002A4E72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1E3FF9" w14:textId="77777777" w:rsidR="003D1F1D" w:rsidRDefault="003D1F1D" w:rsidP="002A4E72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903EE" w14:textId="77777777" w:rsidR="003D1F1D" w:rsidRPr="009B0309" w:rsidRDefault="003D1F1D" w:rsidP="002A4E72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7888949E" w14:textId="77777777" w:rsidTr="002A4E7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36537" w14:textId="77777777" w:rsidR="003D1F1D" w:rsidRDefault="003D1F1D" w:rsidP="002A4E72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B4BE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ABA6910" w14:textId="77777777" w:rsidR="003D1F1D" w:rsidRDefault="003D1F1D" w:rsidP="003D1F1D"/>
    <w:p w14:paraId="4C5D416F" w14:textId="77777777" w:rsidR="003D1F1D" w:rsidRPr="005C740A" w:rsidRDefault="003D1F1D" w:rsidP="003D1F1D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3D1F1D" w14:paraId="24CA7663" w14:textId="77777777" w:rsidTr="002A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0A42920" w14:textId="1A328926" w:rsidR="003D1F1D" w:rsidRDefault="003D1F1D" w:rsidP="002A4E72">
            <w:r>
              <w:t>BESÖK FÖRETAGSSKÖTERSKA (Viss del av undersökningen kan göras av sköterska)</w:t>
            </w:r>
          </w:p>
        </w:tc>
      </w:tr>
      <w:tr w:rsidR="003D1F1D" w14:paraId="0A7FF196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C6B91" w14:textId="77777777" w:rsidR="003D1F1D" w:rsidRDefault="003D1F1D" w:rsidP="002A4E72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7449B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3E351479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3C3F5" w14:textId="77777777" w:rsidR="003D1F1D" w:rsidRPr="005C740A" w:rsidRDefault="003D1F1D" w:rsidP="002A4E72">
            <w:r>
              <w:t>Längd, vikt, BMI, blodtryck, puls uppmäts och skrivs in i Plustoo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7E3F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287D895F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F3AC7" w14:textId="77777777" w:rsidR="003D1F1D" w:rsidRDefault="003D1F1D" w:rsidP="002A4E72">
            <w:r>
              <w:t xml:space="preserve">Synundersökning, kontroll av färgseende och ev </w:t>
            </w:r>
            <w:proofErr w:type="spellStart"/>
            <w:r>
              <w:t>audiometri</w:t>
            </w:r>
            <w:proofErr w:type="spellEnd"/>
            <w:r>
              <w:t xml:space="preserve"> genomförs och dokumenteras i Plustoo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AF73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51018E51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0BDCFF" w14:textId="77777777" w:rsidR="003D1F1D" w:rsidRDefault="003D1F1D" w:rsidP="002A4E72">
            <w:r>
              <w:t xml:space="preserve">Kapillära prover Hb, p-glukos.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A2606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79792A81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DA6F9" w14:textId="77777777" w:rsidR="003D1F1D" w:rsidRDefault="003D1F1D" w:rsidP="002A4E72">
            <w:r>
              <w:t>Urinprov (alb, glukos, röda)</w:t>
            </w: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B675C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094CD73A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0A142" w14:textId="77777777" w:rsidR="003D1F1D" w:rsidRDefault="003D1F1D" w:rsidP="002A4E72">
            <w:r>
              <w:t>Spirometriundersökning – om delegerad arbetsuppgift (obligatoriskt enligt föreskrift).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72755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55C7822B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97C8C" w14:textId="77777777" w:rsidR="003D1F1D" w:rsidRDefault="003D1F1D" w:rsidP="002A4E72">
            <w:r>
              <w:t>Efterfråga om och när fystest och ev arbets-EKG är gjort och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BF4B5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435F655B" w14:textId="77777777" w:rsidTr="002A4E72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9139" w14:textId="77777777" w:rsidR="003D1F1D" w:rsidRDefault="003D1F1D" w:rsidP="002A4E72">
            <w:r w:rsidRPr="005C740A">
              <w:t xml:space="preserve">Påminnelse om att </w:t>
            </w:r>
            <w:r>
              <w:t>tjänstbarhetsintyget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1D3B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DC036E4" w14:textId="77777777" w:rsidR="003D1F1D" w:rsidRDefault="003D1F1D" w:rsidP="003D1F1D"/>
    <w:p w14:paraId="120692B6" w14:textId="77777777" w:rsidR="003D1F1D" w:rsidRDefault="003D1F1D" w:rsidP="003D1F1D">
      <w:pPr>
        <w:spacing w:before="0" w:after="200"/>
      </w:pPr>
      <w:r>
        <w:br w:type="page"/>
      </w:r>
    </w:p>
    <w:p w14:paraId="21370757" w14:textId="77777777" w:rsidR="003D1F1D" w:rsidRPr="008C3BDA" w:rsidRDefault="003D1F1D" w:rsidP="003D1F1D">
      <w:pPr>
        <w:pStyle w:val="Rubrik2"/>
        <w:rPr>
          <w:sz w:val="28"/>
          <w:szCs w:val="28"/>
        </w:rPr>
      </w:pPr>
    </w:p>
    <w:tbl>
      <w:tblPr>
        <w:tblStyle w:val="Ljuslista-dekorfrg3"/>
        <w:tblW w:w="9204" w:type="dxa"/>
        <w:tblCellMar>
          <w:left w:w="68" w:type="dxa"/>
          <w:right w:w="57" w:type="dxa"/>
        </w:tblCellMar>
        <w:tblLook w:val="0620" w:firstRow="1" w:lastRow="0" w:firstColumn="0" w:lastColumn="0" w:noHBand="1" w:noVBand="1"/>
      </w:tblPr>
      <w:tblGrid>
        <w:gridCol w:w="5944"/>
        <w:gridCol w:w="3260"/>
      </w:tblGrid>
      <w:tr w:rsidR="003D1F1D" w14:paraId="37D645C0" w14:textId="77777777" w:rsidTr="0038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721696C" w14:textId="1FC42962" w:rsidR="003D1F1D" w:rsidRDefault="003D1F1D" w:rsidP="002A4E72">
            <w:r>
              <w:t xml:space="preserve">BESÖK FÖRETAGSLÄKARE </w:t>
            </w:r>
          </w:p>
        </w:tc>
      </w:tr>
      <w:tr w:rsidR="003D1F1D" w14:paraId="2665F24D" w14:textId="77777777" w:rsidTr="0038466B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7B5" w14:textId="77777777" w:rsidR="003D1F1D" w:rsidRPr="003D1F1D" w:rsidRDefault="003D1F1D" w:rsidP="002A4E72">
            <w:pPr>
              <w:pStyle w:val="Pa3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3D1F1D">
              <w:rPr>
                <w:rFonts w:asciiTheme="minorHAnsi" w:hAnsiTheme="minorHAnsi" w:cstheme="minorHAnsi"/>
              </w:rPr>
              <w:t xml:space="preserve">Att ha i åtanke vid anamnes och status: </w:t>
            </w:r>
            <w:r w:rsidRPr="003D1F1D">
              <w:rPr>
                <w:rFonts w:asciiTheme="minorHAnsi" w:hAnsiTheme="minorHAnsi" w:cstheme="minorHAnsi"/>
              </w:rPr>
              <w:br/>
            </w:r>
            <w:r w:rsidRPr="003D1F1D">
              <w:rPr>
                <w:rFonts w:asciiTheme="minorHAnsi" w:hAnsiTheme="minorHAnsi" w:cstheme="minorHAnsi"/>
                <w:color w:val="000000"/>
              </w:rPr>
              <w:t xml:space="preserve">Tjänstbarhetsintyg för rök- eller kemdykning ska inte utfärdas för arbetstagare som </w:t>
            </w:r>
          </w:p>
          <w:p w14:paraId="2B1A763E" w14:textId="77777777" w:rsidR="003D1F1D" w:rsidRPr="003D1F1D" w:rsidRDefault="003D1F1D" w:rsidP="003D1F1D">
            <w:pPr>
              <w:pStyle w:val="Pa3"/>
              <w:numPr>
                <w:ilvl w:val="0"/>
                <w:numId w:val="16"/>
              </w:numPr>
              <w:spacing w:after="4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inte kan arbeta lugnt eller metodiskt i olika situationer </w:t>
            </w:r>
          </w:p>
          <w:p w14:paraId="3136FA0C" w14:textId="77777777" w:rsidR="003D1F1D" w:rsidRPr="003D1F1D" w:rsidRDefault="003D1F1D" w:rsidP="003D1F1D">
            <w:pPr>
              <w:pStyle w:val="Pa3"/>
              <w:numPr>
                <w:ilvl w:val="0"/>
                <w:numId w:val="16"/>
              </w:numPr>
              <w:spacing w:after="4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hAnsiTheme="minorHAnsi" w:cstheme="minorHAnsi"/>
              </w:rPr>
              <w:t xml:space="preserve">inte har en tillräckligt god fysisk arbetsförmåga, dvs </w:t>
            </w:r>
            <w:r w:rsidRPr="003D1F1D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inte klarar av att gå i 6 minuter vid test </w:t>
            </w:r>
          </w:p>
          <w:p w14:paraId="252369D0" w14:textId="77777777" w:rsidR="003D1F1D" w:rsidRPr="003D1F1D" w:rsidRDefault="003D1F1D" w:rsidP="003D1F1D">
            <w:pPr>
              <w:pStyle w:val="Pa3"/>
              <w:numPr>
                <w:ilvl w:val="0"/>
                <w:numId w:val="16"/>
              </w:numPr>
              <w:spacing w:after="4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har en diagnos eller hälsotillstånd, som innebär en </w:t>
            </w:r>
            <w:r w:rsidRPr="003D1F1D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ökad risk </w:t>
            </w: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för att drabbas av händelser, som kan leda till ohälsa, skada eller olycksfall vid rök- eller kemdykning </w:t>
            </w:r>
          </w:p>
          <w:p w14:paraId="26A928E9" w14:textId="1CF50F6F" w:rsidR="003D1F1D" w:rsidRPr="003D1F1D" w:rsidRDefault="003D1F1D" w:rsidP="003D1F1D">
            <w:pPr>
              <w:pStyle w:val="Pa3"/>
              <w:numPr>
                <w:ilvl w:val="0"/>
                <w:numId w:val="16"/>
              </w:numPr>
              <w:spacing w:after="4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är gravida eller ammar. </w:t>
            </w:r>
          </w:p>
          <w:p w14:paraId="429345AA" w14:textId="77777777" w:rsidR="003D1F1D" w:rsidRPr="003D1F1D" w:rsidRDefault="003D1F1D" w:rsidP="002A4E72">
            <w:p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Exempel på händelser är:</w:t>
            </w:r>
          </w:p>
          <w:p w14:paraId="26E46E7D" w14:textId="77777777" w:rsidR="003D1F1D" w:rsidRPr="003D1F1D" w:rsidRDefault="003D1F1D" w:rsidP="003D1F1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plötslig medvetandeförlust </w:t>
            </w:r>
          </w:p>
          <w:p w14:paraId="246F822F" w14:textId="77777777" w:rsidR="003D1F1D" w:rsidRPr="003D1F1D" w:rsidRDefault="003D1F1D" w:rsidP="003D1F1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nedsatt uppmärksamhet, koncentrationsförmåga eller initiativförmåga </w:t>
            </w:r>
          </w:p>
          <w:p w14:paraId="64E21791" w14:textId="77777777" w:rsidR="003D1F1D" w:rsidRPr="003D1F1D" w:rsidRDefault="003D1F1D" w:rsidP="003D1F1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förlust/nedsättning av vitala funktionsförmågor som andning, blodcirkulation eller kommunikationsförmåga (syn, hörsel, tal) </w:t>
            </w:r>
          </w:p>
          <w:p w14:paraId="50AF155A" w14:textId="77777777" w:rsidR="003D1F1D" w:rsidRPr="003D1F1D" w:rsidRDefault="003D1F1D" w:rsidP="003D1F1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nedsatt balans eller koordinationsförmåga </w:t>
            </w:r>
          </w:p>
          <w:p w14:paraId="67D30B50" w14:textId="77777777" w:rsidR="003D1F1D" w:rsidRPr="003D1F1D" w:rsidRDefault="003D1F1D" w:rsidP="003D1F1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D1F1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betydande begränsning av rörligheten. </w:t>
            </w:r>
          </w:p>
        </w:tc>
      </w:tr>
      <w:tr w:rsidR="003D1F1D" w14:paraId="28A69DF6" w14:textId="77777777" w:rsidTr="0038466B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D3F94" w14:textId="77777777" w:rsidR="003D1F1D" w:rsidRPr="0038466B" w:rsidRDefault="003D1F1D" w:rsidP="002A4E72">
            <w:pPr>
              <w:rPr>
                <w:sz w:val="20"/>
                <w:szCs w:val="20"/>
              </w:rPr>
            </w:pPr>
            <w:r w:rsidRPr="0038466B">
              <w:rPr>
                <w:sz w:val="20"/>
                <w:szCs w:val="20"/>
              </w:rPr>
              <w:t>Med hälsodeklarationen som underlag genomgång av yrkesanamnes och sjukdomsanamnes (se sammanfattning i Plustoo)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4CCECF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164C1659" w14:textId="77777777" w:rsidTr="0038466B">
        <w:trPr>
          <w:trHeight w:val="546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6BA24" w14:textId="77777777" w:rsidR="003D1F1D" w:rsidRPr="0038466B" w:rsidRDefault="003D1F1D" w:rsidP="002A4E72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 xml:space="preserve">Klinisk undersökning genomföras enligt </w:t>
            </w:r>
            <w:hyperlink r:id="rId11" w:history="1">
              <w:r w:rsidRPr="0038466B">
                <w:rPr>
                  <w:rStyle w:val="Hyperlnk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EDTS protokoll</w:t>
              </w:r>
            </w:hyperlink>
            <w:r w:rsidRPr="0038466B">
              <w:rPr>
                <w:rFonts w:ascii="Univers" w:eastAsiaTheme="minorHAnsi" w:hAnsi="Univers" w:cs="Univer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FAD66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086DA6A8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20437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 xml:space="preserve">Bedömning av test av fysisk arbetsförmåga.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86814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58612DE7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F1EC5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Bedömning av ev arbets-EKG (&gt; 45 år eller vid behov)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5E10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30126538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AE990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 xml:space="preserve">Kontroll av blodtryck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EF4CE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1582EA19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1DBC7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Kontroll av resultat av ev provtagning (glukos och ev alkohol- och drogmarkörer kan vara adekvat att kontrollera)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9313E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1A0936C0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B7B00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Sambandsbedömning gällande eventuell ohälsotillstånd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A9881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0B9ED3A5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62BD5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R</w:t>
            </w:r>
            <w:r w:rsidRPr="0038466B">
              <w:rPr>
                <w:rFonts w:asciiTheme="minorHAnsi" w:eastAsiaTheme="minorHAnsi" w:hAnsiTheme="minorHAnsi" w:cstheme="minorHAnsi" w:hint="cs"/>
                <w:color w:val="151513"/>
                <w:sz w:val="20"/>
                <w:szCs w:val="20"/>
                <w:lang w:eastAsia="en-US"/>
              </w:rPr>
              <w:t>å</w:t>
            </w: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dgivning och åtgärdsförslag till deltagare utifr</w:t>
            </w:r>
            <w:r w:rsidRPr="0038466B">
              <w:rPr>
                <w:rFonts w:asciiTheme="minorHAnsi" w:eastAsiaTheme="minorHAnsi" w:hAnsiTheme="minorHAnsi" w:cstheme="minorHAnsi" w:hint="cs"/>
                <w:color w:val="151513"/>
                <w:sz w:val="20"/>
                <w:szCs w:val="20"/>
                <w:lang w:eastAsia="en-US"/>
              </w:rPr>
              <w:t>å</w:t>
            </w: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n h</w:t>
            </w:r>
            <w:r w:rsidRPr="0038466B">
              <w:rPr>
                <w:rFonts w:asciiTheme="minorHAnsi" w:eastAsiaTheme="minorHAnsi" w:hAnsiTheme="minorHAnsi" w:cstheme="minorHAnsi" w:hint="cs"/>
                <w:color w:val="151513"/>
                <w:sz w:val="20"/>
                <w:szCs w:val="20"/>
                <w:lang w:eastAsia="en-US"/>
              </w:rPr>
              <w:t>ä</w:t>
            </w: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 xml:space="preserve">lsorisker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C712F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64B63340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A23ED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123C5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5CB989B2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913AA" w14:textId="77777777" w:rsidR="003D1F1D" w:rsidRPr="0038466B" w:rsidRDefault="003D1F1D" w:rsidP="002A4E72">
            <w:pPr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rFonts w:asciiTheme="minorHAnsi" w:eastAsiaTheme="minorHAnsi" w:hAnsiTheme="minorHAnsi" w:cstheme="minorHAnsi"/>
                <w:color w:val="151513"/>
                <w:sz w:val="20"/>
                <w:szCs w:val="20"/>
                <w:lang w:eastAsia="en-US"/>
              </w:rPr>
              <w:t xml:space="preserve">Tjänstbarhetsintyg utfärdas i plustoo. Kontrollera datumen noga. Fr om-datumet kan ”framåtdateras” max 2 mån enligt praxis.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2C6F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00531DC3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456BE" w14:textId="77777777" w:rsidR="003D1F1D" w:rsidRPr="0038466B" w:rsidRDefault="003D1F1D" w:rsidP="002A4E72">
            <w:pPr>
              <w:pStyle w:val="Default"/>
              <w:rPr>
                <w:rFonts w:ascii="Book Antiqua" w:eastAsiaTheme="minorHAnsi" w:hAnsi="Book Antiqua" w:cs="Book Antiqua"/>
                <w:color w:val="151513"/>
                <w:sz w:val="20"/>
                <w:szCs w:val="20"/>
                <w:lang w:eastAsia="en-US"/>
              </w:rPr>
            </w:pPr>
            <w:r w:rsidRPr="0038466B">
              <w:rPr>
                <w:sz w:val="20"/>
                <w:szCs w:val="20"/>
              </w:rPr>
              <w:t>Bedömning av lämpligt intervall till nästa kontroll (</w:t>
            </w:r>
            <w:r w:rsidRPr="0038466B">
              <w:rPr>
                <w:rFonts w:asciiTheme="minorHAnsi" w:eastAsiaTheme="minorHAnsi" w:hAnsiTheme="minorHAnsi" w:cstheme="minorHAnsi"/>
                <w:i/>
                <w:iCs/>
                <w:color w:val="151513"/>
                <w:sz w:val="20"/>
                <w:szCs w:val="20"/>
                <w:lang w:eastAsia="en-US"/>
              </w:rPr>
              <w:t>utgångspunkt om 5 år för arbetstagare under 40 år, med längsta giltighet till 42 års ålder; om 2 år för arbetstagare som har fyllt 40 år, eller tidigare om den samlade bedömningen föranleder detta</w:t>
            </w:r>
            <w:r w:rsidRPr="0038466B">
              <w:rPr>
                <w:rFonts w:ascii="Book Antiqua" w:eastAsiaTheme="minorHAnsi" w:hAnsi="Book Antiqua" w:cs="Book Antiqua"/>
                <w:color w:val="15151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9223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1AC1D9C4" w14:textId="77777777" w:rsidTr="0038466B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97B8A" w14:textId="77777777" w:rsidR="003D1F1D" w:rsidRPr="0038466B" w:rsidRDefault="003D1F1D" w:rsidP="002A4E72">
            <w:pPr>
              <w:rPr>
                <w:sz w:val="20"/>
                <w:szCs w:val="20"/>
              </w:rPr>
            </w:pPr>
            <w:r w:rsidRPr="0038466B">
              <w:rPr>
                <w:sz w:val="20"/>
                <w:szCs w:val="20"/>
              </w:rPr>
              <w:t>Dokumentation i Plustoo/patientjournalen 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0B5D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19CBFE4F" w14:textId="77777777" w:rsidR="003D1F1D" w:rsidRDefault="003D1F1D" w:rsidP="003D1F1D"/>
    <w:p w14:paraId="41E7E8D4" w14:textId="77777777" w:rsidR="003D1F1D" w:rsidRPr="005C740A" w:rsidRDefault="003D1F1D" w:rsidP="003D1F1D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3D1F1D" w14:paraId="24994F3C" w14:textId="77777777" w:rsidTr="002A4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78DBD578" w14:textId="77777777" w:rsidR="003D1F1D" w:rsidRDefault="003D1F1D" w:rsidP="002A4E72">
            <w:r>
              <w:t>EFTER BESÖKET (ANPASSA EFTER LOKALA RUTINER)</w:t>
            </w:r>
          </w:p>
        </w:tc>
      </w:tr>
      <w:tr w:rsidR="003D1F1D" w14:paraId="71678AAA" w14:textId="77777777" w:rsidTr="002A4E72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818757" w14:textId="77777777" w:rsidR="003D1F1D" w:rsidRDefault="003D1F1D" w:rsidP="002A4E72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31E695" w14:textId="77777777" w:rsidR="003D1F1D" w:rsidRPr="009B0309" w:rsidRDefault="003D1F1D" w:rsidP="002A4E72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2B4F8206" w14:textId="77777777" w:rsidTr="002A4E7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F7FDD" w14:textId="77777777" w:rsidR="003D1F1D" w:rsidRDefault="003D1F1D" w:rsidP="002A4E72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90E8A" w14:textId="77777777" w:rsidR="003D1F1D" w:rsidRDefault="003D1F1D" w:rsidP="002A4E72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742FFDD4" w14:textId="77777777" w:rsidTr="002A4E7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BFB5F" w14:textId="77777777" w:rsidR="003D1F1D" w:rsidRDefault="003D1F1D" w:rsidP="002A4E72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72129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D1F1D" w14:paraId="401A8BC4" w14:textId="77777777" w:rsidTr="002A4E72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9A958" w14:textId="77777777" w:rsidR="003D1F1D" w:rsidRDefault="003D1F1D" w:rsidP="002A4E72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29493" w14:textId="77777777" w:rsidR="003D1F1D" w:rsidRPr="009B0309" w:rsidRDefault="003D1F1D" w:rsidP="002A4E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570B92A" w14:textId="77777777" w:rsidR="003D1F1D" w:rsidRDefault="003D1F1D" w:rsidP="003D1F1D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4117437A" w14:textId="77777777" w:rsidR="0099020F" w:rsidRPr="005C740A" w:rsidRDefault="0099020F" w:rsidP="0099020F"/>
    <w:sectPr w:rsidR="0099020F" w:rsidRPr="005C740A" w:rsidSect="003D1F1D">
      <w:headerReference w:type="default" r:id="rId12"/>
      <w:footerReference w:type="default" r:id="rId13"/>
      <w:pgSz w:w="11900" w:h="16840"/>
      <w:pgMar w:top="993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1D80" w14:textId="77777777" w:rsidR="003839BA" w:rsidRDefault="003839BA" w:rsidP="004276F1">
      <w:r>
        <w:separator/>
      </w:r>
    </w:p>
    <w:p w14:paraId="52C88B6C" w14:textId="77777777" w:rsidR="003839BA" w:rsidRDefault="003839BA" w:rsidP="004276F1"/>
    <w:p w14:paraId="72997DFE" w14:textId="77777777" w:rsidR="003839BA" w:rsidRDefault="003839BA" w:rsidP="004276F1"/>
  </w:endnote>
  <w:endnote w:type="continuationSeparator" w:id="0">
    <w:p w14:paraId="1F063896" w14:textId="77777777" w:rsidR="003839BA" w:rsidRDefault="003839BA" w:rsidP="004276F1">
      <w:r>
        <w:continuationSeparator/>
      </w:r>
    </w:p>
    <w:p w14:paraId="4CB58D63" w14:textId="77777777" w:rsidR="003839BA" w:rsidRDefault="003839BA" w:rsidP="004276F1"/>
    <w:p w14:paraId="6BFDDFF6" w14:textId="77777777" w:rsidR="003839BA" w:rsidRDefault="003839BA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40D1" w14:textId="77777777" w:rsidR="003839BA" w:rsidRDefault="003839BA" w:rsidP="004276F1">
      <w:r>
        <w:separator/>
      </w:r>
    </w:p>
    <w:p w14:paraId="5D7A7547" w14:textId="77777777" w:rsidR="003839BA" w:rsidRDefault="003839BA" w:rsidP="004276F1"/>
    <w:p w14:paraId="3DF21F73" w14:textId="77777777" w:rsidR="003839BA" w:rsidRDefault="003839BA" w:rsidP="004276F1"/>
  </w:footnote>
  <w:footnote w:type="continuationSeparator" w:id="0">
    <w:p w14:paraId="732A402D" w14:textId="77777777" w:rsidR="003839BA" w:rsidRDefault="003839BA" w:rsidP="004276F1">
      <w:r>
        <w:continuationSeparator/>
      </w:r>
    </w:p>
    <w:p w14:paraId="36ECFD94" w14:textId="77777777" w:rsidR="003839BA" w:rsidRDefault="003839BA" w:rsidP="004276F1"/>
    <w:p w14:paraId="3CC8DABA" w14:textId="77777777" w:rsidR="003839BA" w:rsidRDefault="003839BA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70039A"/>
    <w:multiLevelType w:val="hybridMultilevel"/>
    <w:tmpl w:val="8334F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AFE0986"/>
    <w:multiLevelType w:val="hybridMultilevel"/>
    <w:tmpl w:val="4DB47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BCE7AE7"/>
    <w:multiLevelType w:val="hybridMultilevel"/>
    <w:tmpl w:val="9D80A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6"/>
  </w:num>
  <w:num w:numId="13" w16cid:durableId="487289900">
    <w:abstractNumId w:val="14"/>
  </w:num>
  <w:num w:numId="14" w16cid:durableId="941380406">
    <w:abstractNumId w:val="12"/>
  </w:num>
  <w:num w:numId="15" w16cid:durableId="440688823">
    <w:abstractNumId w:val="15"/>
  </w:num>
  <w:num w:numId="16" w16cid:durableId="1210654323">
    <w:abstractNumId w:val="11"/>
  </w:num>
  <w:num w:numId="17" w16cid:durableId="1299456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04B76"/>
    <w:rsid w:val="000142AA"/>
    <w:rsid w:val="0001725B"/>
    <w:rsid w:val="000218D1"/>
    <w:rsid w:val="00021C29"/>
    <w:rsid w:val="00044F28"/>
    <w:rsid w:val="0005731C"/>
    <w:rsid w:val="00073F6D"/>
    <w:rsid w:val="00075093"/>
    <w:rsid w:val="00094C11"/>
    <w:rsid w:val="000A25C7"/>
    <w:rsid w:val="000B1BCE"/>
    <w:rsid w:val="000C0203"/>
    <w:rsid w:val="000D0E39"/>
    <w:rsid w:val="000D39D2"/>
    <w:rsid w:val="000E0FC5"/>
    <w:rsid w:val="000E341D"/>
    <w:rsid w:val="000E5420"/>
    <w:rsid w:val="000F281C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46D85"/>
    <w:rsid w:val="00253704"/>
    <w:rsid w:val="002609CD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65833"/>
    <w:rsid w:val="003754D6"/>
    <w:rsid w:val="00380718"/>
    <w:rsid w:val="003839BA"/>
    <w:rsid w:val="0038466B"/>
    <w:rsid w:val="0039199F"/>
    <w:rsid w:val="00395783"/>
    <w:rsid w:val="0039616F"/>
    <w:rsid w:val="003B073B"/>
    <w:rsid w:val="003B2205"/>
    <w:rsid w:val="003B7035"/>
    <w:rsid w:val="003D02BF"/>
    <w:rsid w:val="003D1638"/>
    <w:rsid w:val="003D1F1D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45860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111E"/>
    <w:rsid w:val="006B4588"/>
    <w:rsid w:val="006C3EAF"/>
    <w:rsid w:val="006D792D"/>
    <w:rsid w:val="006E5481"/>
    <w:rsid w:val="006F4668"/>
    <w:rsid w:val="006F6657"/>
    <w:rsid w:val="0073130C"/>
    <w:rsid w:val="007315C5"/>
    <w:rsid w:val="00736AC0"/>
    <w:rsid w:val="00743FCE"/>
    <w:rsid w:val="00766CD3"/>
    <w:rsid w:val="00770F5B"/>
    <w:rsid w:val="00772A10"/>
    <w:rsid w:val="00774258"/>
    <w:rsid w:val="00785A05"/>
    <w:rsid w:val="007B359F"/>
    <w:rsid w:val="007B6E66"/>
    <w:rsid w:val="007B7DC9"/>
    <w:rsid w:val="007C5C20"/>
    <w:rsid w:val="008104C9"/>
    <w:rsid w:val="008112F0"/>
    <w:rsid w:val="0082728D"/>
    <w:rsid w:val="008372FD"/>
    <w:rsid w:val="00842D1B"/>
    <w:rsid w:val="00847DD6"/>
    <w:rsid w:val="00853D6B"/>
    <w:rsid w:val="008603B5"/>
    <w:rsid w:val="00880D7C"/>
    <w:rsid w:val="00886300"/>
    <w:rsid w:val="008A477F"/>
    <w:rsid w:val="008A5267"/>
    <w:rsid w:val="008A5FB3"/>
    <w:rsid w:val="008C0B22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447B"/>
    <w:rsid w:val="009448E5"/>
    <w:rsid w:val="00960183"/>
    <w:rsid w:val="00966149"/>
    <w:rsid w:val="00975E25"/>
    <w:rsid w:val="00983FBE"/>
    <w:rsid w:val="00985176"/>
    <w:rsid w:val="0099020F"/>
    <w:rsid w:val="009A1589"/>
    <w:rsid w:val="009A23D2"/>
    <w:rsid w:val="009B3D93"/>
    <w:rsid w:val="009B55B0"/>
    <w:rsid w:val="009C00B0"/>
    <w:rsid w:val="009C6A8A"/>
    <w:rsid w:val="009E2410"/>
    <w:rsid w:val="009F21D6"/>
    <w:rsid w:val="009F5186"/>
    <w:rsid w:val="009F7B7C"/>
    <w:rsid w:val="00A11976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1E97"/>
    <w:rsid w:val="00B82BE0"/>
    <w:rsid w:val="00B92FF0"/>
    <w:rsid w:val="00B94E6A"/>
    <w:rsid w:val="00BA23AC"/>
    <w:rsid w:val="00BC5739"/>
    <w:rsid w:val="00BC6251"/>
    <w:rsid w:val="00BC7CC0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C4F5C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176C"/>
    <w:rsid w:val="00EA23E4"/>
    <w:rsid w:val="00EC333D"/>
    <w:rsid w:val="00EC4E27"/>
    <w:rsid w:val="00ED00EF"/>
    <w:rsid w:val="00EE02A2"/>
    <w:rsid w:val="00EE13DA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A3298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customStyle="1" w:styleId="Default">
    <w:name w:val="Default"/>
    <w:rsid w:val="002609CD"/>
    <w:pPr>
      <w:autoSpaceDE w:val="0"/>
      <w:autoSpaceDN w:val="0"/>
      <w:adjustRightInd w:val="0"/>
      <w:spacing w:after="0"/>
    </w:pPr>
    <w:rPr>
      <w:rFonts w:ascii="TradeGothic" w:hAnsi="TradeGothic" w:cs="TradeGothic"/>
      <w:color w:val="000000"/>
    </w:rPr>
  </w:style>
  <w:style w:type="paragraph" w:customStyle="1" w:styleId="Pa3">
    <w:name w:val="Pa3"/>
    <w:basedOn w:val="Default"/>
    <w:next w:val="Default"/>
    <w:uiPriority w:val="99"/>
    <w:rsid w:val="00B81E97"/>
    <w:pPr>
      <w:spacing w:line="199" w:lineRule="atLeast"/>
    </w:pPr>
    <w:rPr>
      <w:rFonts w:ascii="Open Sans" w:hAnsi="Open 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hvmetodik.se/wp-content/uploads/2021/04/EDTC-SE-Klinisk-usokn-Dykeriarbete-enl-EDTC-AMM-VGR-2021-04-08-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AF06-04C7-4E1E-84A3-F2DBB996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4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40</TotalTime>
  <Pages>3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6</cp:revision>
  <cp:lastPrinted>2012-12-13T14:22:00Z</cp:lastPrinted>
  <dcterms:created xsi:type="dcterms:W3CDTF">2022-05-16T12:46:00Z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